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color w:val="9C7A2E"/>
          <w:sz w:val="22"/>
        </w:rPr>
        <w:t>TRADE DEVELOPMENT AUTHORITY OF PAKISTAN</w:t>
      </w:r>
    </w:p>
    <w:p>
      <w:pPr>
        <w:spacing w:after="0" w:before="0"/>
        <w:jc w:val="center"/>
      </w:pPr>
      <w:r>
        <w:rPr>
          <w:b/>
          <w:color w:val="0B1F3A"/>
          <w:sz w:val="30"/>
        </w:rPr>
        <w:t>HRMS / ERP — Standard Operating Procedure</w:t>
      </w:r>
    </w:p>
    <w:p>
      <w:pPr>
        <w:spacing w:after="120"/>
        <w:jc w:val="center"/>
      </w:pPr>
      <w:r>
        <w:rPr>
          <w:i/>
          <w:color w:val="606060"/>
          <w:sz w:val="18"/>
        </w:rPr>
        <w:t>Maintaining the TDAP Human Resource Management System  ·  Establishment Section</w:t>
      </w:r>
    </w:p>
    <w:p>
      <w:pPr>
        <w:spacing w:after="20" w:before="80"/>
      </w:pPr>
      <w:r>
        <w:rPr>
          <w:b/>
          <w:color w:val="0B1F3A"/>
          <w:sz w:val="21"/>
        </w:rPr>
        <w:t>1.  Access &amp; Golden Rules</w:t>
      </w:r>
    </w:p>
    <w:p>
      <w:pPr>
        <w:pStyle w:val="ListNumber"/>
        <w:spacing w:after="0"/>
      </w:pPr>
      <w:r>
        <w:rPr>
          <w:sz w:val="19"/>
        </w:rPr>
        <w:t xml:space="preserve">The system is a </w:t>
      </w:r>
      <w:r>
        <w:rPr>
          <w:b/>
          <w:sz w:val="19"/>
        </w:rPr>
        <w:t>single self-contained file (TDAP_HRMS.html)</w:t>
      </w:r>
      <w:r>
        <w:rPr>
          <w:sz w:val="19"/>
        </w:rPr>
        <w:t xml:space="preserve"> — open it in any modern browser (Chrome/Edge). </w:t>
      </w:r>
      <w:r>
        <w:rPr>
          <w:b/>
          <w:sz w:val="19"/>
        </w:rPr>
        <w:t>No internet or installation required</w:t>
      </w:r>
      <w:r>
        <w:rPr>
          <w:sz w:val="19"/>
        </w:rPr>
        <w:t>; it runs on standalone/air-gapped PCs.</w:t>
      </w:r>
    </w:p>
    <w:p>
      <w:pPr>
        <w:pStyle w:val="ListNumber"/>
        <w:spacing w:after="0"/>
      </w:pPr>
      <w:r>
        <w:rPr>
          <w:sz w:val="19"/>
        </w:rPr>
        <w:t xml:space="preserve">Edits auto-save to the browser. After each working session click </w:t>
      </w:r>
      <w:r>
        <w:rPr>
          <w:b/>
          <w:sz w:val="19"/>
        </w:rPr>
        <w:t>“Backup (JSON)”</w:t>
      </w:r>
      <w:r>
        <w:rPr>
          <w:sz w:val="19"/>
        </w:rPr>
        <w:t xml:space="preserve"> and archive the file with the date — this is the official audit copy.</w:t>
      </w:r>
    </w:p>
    <w:p>
      <w:pPr>
        <w:pStyle w:val="ListNumber"/>
        <w:spacing w:after="0"/>
      </w:pPr>
      <w:r>
        <w:rPr>
          <w:sz w:val="19"/>
        </w:rPr>
        <w:t xml:space="preserve">To move data to another PC or officer: </w:t>
      </w:r>
      <w:r>
        <w:rPr>
          <w:b/>
          <w:sz w:val="19"/>
        </w:rPr>
        <w:t>Backup (JSON)</w:t>
      </w:r>
      <w:r>
        <w:rPr>
          <w:sz w:val="19"/>
        </w:rPr>
        <w:t xml:space="preserve"> here, then </w:t>
      </w:r>
      <w:r>
        <w:rPr>
          <w:b/>
          <w:sz w:val="19"/>
        </w:rPr>
        <w:t>Import</w:t>
      </w:r>
      <w:r>
        <w:rPr>
          <w:sz w:val="19"/>
        </w:rPr>
        <w:t xml:space="preserve"> there. Never keep two live copies in parallel.</w:t>
      </w:r>
    </w:p>
    <w:p>
      <w:pPr>
        <w:pStyle w:val="ListNumber"/>
        <w:spacing w:after="0"/>
      </w:pPr>
      <w:r>
        <w:rPr>
          <w:sz w:val="19"/>
        </w:rPr>
        <w:t xml:space="preserve">Enter only what the record supports. </w:t>
      </w:r>
      <w:r>
        <w:rPr>
          <w:b/>
          <w:sz w:val="19"/>
        </w:rPr>
        <w:t>Leave a field blank rather than assume</w:t>
      </w:r>
      <w:r>
        <w:rPr>
          <w:sz w:val="19"/>
        </w:rPr>
        <w:t xml:space="preserve"> a value.</w:t>
      </w:r>
    </w:p>
    <w:p>
      <w:pPr>
        <w:spacing w:after="20" w:before="80"/>
      </w:pPr>
      <w:r>
        <w:rPr>
          <w:b/>
          <w:color w:val="0B1F3A"/>
          <w:sz w:val="21"/>
        </w:rPr>
        <w:t>2.  Recording a Transfer / Posting</w:t>
      </w:r>
    </w:p>
    <w:p>
      <w:pPr>
        <w:pStyle w:val="ListNumber"/>
        <w:spacing w:after="0"/>
      </w:pPr>
      <w:r>
        <w:rPr>
          <w:sz w:val="19"/>
        </w:rPr>
        <w:t xml:space="preserve">Open </w:t>
      </w:r>
      <w:r>
        <w:rPr>
          <w:b/>
          <w:sz w:val="19"/>
        </w:rPr>
        <w:t>Movement &amp; Transfer Log</w:t>
      </w:r>
      <w:r>
        <w:rPr>
          <w:sz w:val="19"/>
        </w:rPr>
        <w:t>; select the employee.</w:t>
      </w:r>
    </w:p>
    <w:p>
      <w:pPr>
        <w:pStyle w:val="ListNumber"/>
        <w:spacing w:after="0"/>
      </w:pPr>
      <w:r>
        <w:rPr>
          <w:sz w:val="19"/>
        </w:rPr>
        <w:t xml:space="preserve">Enter new </w:t>
      </w:r>
      <w:r>
        <w:rPr>
          <w:b/>
          <w:sz w:val="19"/>
        </w:rPr>
        <w:t>Station</w:t>
      </w:r>
      <w:r>
        <w:rPr>
          <w:sz w:val="19"/>
        </w:rPr>
        <w:t xml:space="preserve">, </w:t>
      </w:r>
      <w:r>
        <w:rPr>
          <w:b/>
          <w:sz w:val="19"/>
        </w:rPr>
        <w:t>Division</w:t>
      </w:r>
      <w:r>
        <w:rPr>
          <w:sz w:val="19"/>
        </w:rPr>
        <w:t xml:space="preserve">, </w:t>
      </w:r>
      <w:r>
        <w:rPr>
          <w:b/>
          <w:sz w:val="19"/>
        </w:rPr>
        <w:t>effective date (w.e.f.)</w:t>
      </w:r>
      <w:r>
        <w:rPr>
          <w:sz w:val="19"/>
        </w:rPr>
        <w:t xml:space="preserve"> and </w:t>
      </w:r>
      <w:r>
        <w:rPr>
          <w:b/>
          <w:sz w:val="19"/>
        </w:rPr>
        <w:t>order/notification reference</w:t>
      </w:r>
      <w:r>
        <w:rPr>
          <w:sz w:val="19"/>
        </w:rPr>
        <w:t>; choose the movement type.</w:t>
      </w:r>
    </w:p>
    <w:p>
      <w:pPr>
        <w:pStyle w:val="ListNumber"/>
        <w:spacing w:after="0"/>
      </w:pPr>
      <w:r>
        <w:rPr>
          <w:sz w:val="19"/>
        </w:rPr>
        <w:t xml:space="preserve">Click </w:t>
      </w:r>
      <w:r>
        <w:rPr>
          <w:b/>
          <w:sz w:val="19"/>
        </w:rPr>
        <w:t>“Record &amp; Apply.”</w:t>
      </w:r>
      <w:r>
        <w:rPr>
          <w:sz w:val="19"/>
        </w:rPr>
        <w:t xml:space="preserve"> The employee’s current placement updates automatically and the movement is logged for the audit trail.</w:t>
      </w:r>
    </w:p>
    <w:p>
      <w:pPr>
        <w:spacing w:after="20" w:before="80"/>
      </w:pPr>
      <w:r>
        <w:rPr>
          <w:b/>
          <w:color w:val="0B1F3A"/>
          <w:sz w:val="21"/>
        </w:rPr>
        <w:t>3.  Recruitment, Promotion, Retirement &amp; Resignation</w:t>
      </w:r>
    </w:p>
    <w:p>
      <w:pPr>
        <w:pStyle w:val="ListNumber"/>
        <w:spacing w:after="0"/>
      </w:pPr>
      <w:r>
        <w:rPr>
          <w:sz w:val="19"/>
        </w:rPr>
      </w:r>
      <w:r>
        <w:rPr>
          <w:b/>
          <w:sz w:val="19"/>
        </w:rPr>
        <w:t>Recruitment:</w:t>
      </w:r>
      <w:r>
        <w:rPr>
          <w:sz w:val="19"/>
        </w:rPr>
        <w:t xml:space="preserve"> Employee Registry → </w:t>
      </w:r>
      <w:r>
        <w:rPr>
          <w:b/>
          <w:sz w:val="19"/>
        </w:rPr>
        <w:t>“+ Add Employee”</w:t>
      </w:r>
      <w:r>
        <w:rPr>
          <w:sz w:val="19"/>
        </w:rPr>
        <w:t>; complete all fields; set Status = Active. The vacancy count falls as sanctioned strength is met.</w:t>
      </w:r>
    </w:p>
    <w:p>
      <w:pPr>
        <w:pStyle w:val="ListNumber"/>
        <w:spacing w:after="0"/>
      </w:pPr>
      <w:r>
        <w:rPr>
          <w:sz w:val="19"/>
        </w:rPr>
      </w:r>
      <w:r>
        <w:rPr>
          <w:b/>
          <w:sz w:val="19"/>
        </w:rPr>
        <w:t>Promotion:</w:t>
      </w:r>
      <w:r>
        <w:rPr>
          <w:sz w:val="19"/>
        </w:rPr>
        <w:t xml:space="preserve"> Edit the record; update Scale Code / Grade and Seniority Band; log the event in the Movement Log (type = Promotion).</w:t>
      </w:r>
    </w:p>
    <w:p>
      <w:pPr>
        <w:pStyle w:val="ListNumber"/>
        <w:spacing w:after="0"/>
      </w:pPr>
      <w:r>
        <w:rPr>
          <w:sz w:val="19"/>
        </w:rPr>
      </w:r>
      <w:r>
        <w:rPr>
          <w:b/>
          <w:sz w:val="19"/>
        </w:rPr>
        <w:t>Retirement / Resignation:</w:t>
      </w:r>
      <w:r>
        <w:rPr>
          <w:sz w:val="19"/>
        </w:rPr>
        <w:t xml:space="preserve"> Edit the record; set Status accordingly. </w:t>
      </w:r>
      <w:r>
        <w:rPr>
          <w:b/>
          <w:sz w:val="19"/>
        </w:rPr>
        <w:t>Retain the record</w:t>
      </w:r>
      <w:r>
        <w:rPr>
          <w:sz w:val="19"/>
        </w:rPr>
        <w:t xml:space="preserve"> for audit — do not delete.</w:t>
      </w:r>
    </w:p>
    <w:p>
      <w:pPr>
        <w:spacing w:after="20" w:before="80"/>
      </w:pPr>
      <w:r>
        <w:rPr>
          <w:b/>
          <w:color w:val="0B1F3A"/>
          <w:sz w:val="21"/>
        </w:rPr>
        <w:t>4.  Retirement Forecasting</w:t>
      </w:r>
    </w:p>
    <w:p>
      <w:pPr>
        <w:pStyle w:val="ListNumber"/>
        <w:spacing w:after="0"/>
      </w:pPr>
      <w:r>
        <w:rPr>
          <w:sz w:val="19"/>
        </w:rPr>
        <w:t xml:space="preserve">Populate </w:t>
      </w:r>
      <w:r>
        <w:rPr>
          <w:b/>
          <w:sz w:val="19"/>
        </w:rPr>
        <w:t>Date of Birth</w:t>
      </w:r>
      <w:r>
        <w:rPr>
          <w:sz w:val="19"/>
        </w:rPr>
        <w:t xml:space="preserve"> in each record. The system computes superannuation at </w:t>
      </w:r>
      <w:r>
        <w:rPr>
          <w:b/>
          <w:sz w:val="19"/>
        </w:rPr>
        <w:t>age 60</w:t>
      </w:r>
      <w:r>
        <w:rPr>
          <w:sz w:val="19"/>
        </w:rPr>
        <w:t xml:space="preserve"> and drives the 3 / 6 / 12-month forecast on the dashboard automatically.</w:t>
      </w:r>
    </w:p>
    <w:p>
      <w:pPr>
        <w:spacing w:after="20" w:before="80"/>
      </w:pPr>
      <w:r>
        <w:rPr>
          <w:b/>
          <w:color w:val="0B1F3A"/>
          <w:sz w:val="21"/>
        </w:rPr>
        <w:t>5.  Monthly Data-Hygiene Routine</w:t>
      </w:r>
    </w:p>
    <w:p>
      <w:pPr>
        <w:pStyle w:val="ListNumber"/>
        <w:spacing w:after="0"/>
      </w:pPr>
      <w:r>
        <w:rPr>
          <w:sz w:val="19"/>
        </w:rPr>
        <w:t xml:space="preserve">Open </w:t>
      </w:r>
      <w:r>
        <w:rPr>
          <w:b/>
          <w:sz w:val="19"/>
        </w:rPr>
        <w:t>Data Hygiene &amp; Alerts</w:t>
      </w:r>
      <w:r>
        <w:rPr>
          <w:sz w:val="19"/>
        </w:rPr>
        <w:t xml:space="preserve">; clear </w:t>
      </w:r>
      <w:r>
        <w:rPr>
          <w:b/>
          <w:sz w:val="19"/>
        </w:rPr>
        <w:t>red (high-severity)</w:t>
      </w:r>
      <w:r>
        <w:rPr>
          <w:sz w:val="19"/>
        </w:rPr>
        <w:t xml:space="preserve"> flags first — vacancies and missing CNIC.</w:t>
      </w:r>
    </w:p>
    <w:p>
      <w:pPr>
        <w:pStyle w:val="ListNumber"/>
        <w:spacing w:after="0"/>
      </w:pPr>
      <w:r>
        <w:rPr>
          <w:sz w:val="19"/>
        </w:rPr>
        <w:t xml:space="preserve">Drive </w:t>
      </w:r>
      <w:r>
        <w:rPr>
          <w:b/>
          <w:sz w:val="19"/>
        </w:rPr>
        <w:t>Record Completeness ≥ 95%</w:t>
      </w:r>
      <w:r>
        <w:rPr>
          <w:sz w:val="19"/>
        </w:rPr>
        <w:t>; reconcile working strength against sanctioned posts each quarter.</w:t>
      </w:r>
    </w:p>
    <w:p>
      <w:pPr>
        <w:pStyle w:val="ListNumber"/>
        <w:spacing w:after="0"/>
      </w:pPr>
      <w:r>
        <w:rPr>
          <w:sz w:val="19"/>
        </w:rPr>
        <w:t xml:space="preserve">Export </w:t>
      </w:r>
      <w:r>
        <w:rPr>
          <w:b/>
          <w:sz w:val="19"/>
        </w:rPr>
        <w:t>Backup (JSON)</w:t>
      </w:r>
      <w:r>
        <w:rPr>
          <w:sz w:val="19"/>
        </w:rPr>
        <w:t xml:space="preserve"> and archive with the month’s date.</w:t>
      </w:r>
    </w:p>
    <w:p>
      <w:pPr>
        <w:spacing w:after="20" w:before="80"/>
      </w:pPr>
      <w:r>
        <w:rPr>
          <w:b/>
          <w:color w:val="0B1F3A"/>
          <w:sz w:val="21"/>
        </w:rPr>
        <w:t>6.  Custody &amp; Governance</w:t>
      </w:r>
    </w:p>
    <w:p>
      <w:pPr>
        <w:spacing w:after="40"/>
      </w:pPr>
      <w:r>
        <w:rPr>
          <w:sz w:val="19"/>
        </w:rPr>
        <w:t>The Establishment Section owns the master file. One nominated officer holds edit custody; all others work from exported (read-only) copies. Dated JSON backups constitute the official audit record. Default station-tenure policy for overdue-transfer alerts is 3 years (adjust per policy).</w:t>
      </w:r>
    </w:p>
    <w:p>
      <w:pPr>
        <w:spacing w:before="120"/>
      </w:pPr>
      <w:r>
        <w:rPr>
          <w:b/>
          <w:color w:val="9C7A2E"/>
          <w:sz w:val="17"/>
        </w:rPr>
        <w:t xml:space="preserve">Data provenance: </w:t>
      </w:r>
      <w:r>
        <w:rPr>
          <w:color w:val="606060"/>
          <w:sz w:val="17"/>
        </w:rPr>
        <w:t>Seeded from Final Salary-2026 (Data sheet, 667 employees, as of June 2026) and the sanctioned/working/vacant officer table in “Officers Posted in TDAP.” Identity and date fields (CNIC, DOB, joining/retirement dates) and Division are not present in the source and are provided as entry-ready fields.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